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70C2EC1" w14:textId="77777777" w:rsidR="00A01431" w:rsidRDefault="00ED2A31">
      <w:pPr>
        <w:pStyle w:val="Title"/>
        <w:keepNext w:val="0"/>
        <w:keepLines w:val="0"/>
        <w:jc w:val="center"/>
        <w:rPr>
          <w:rFonts w:ascii="Calibri" w:eastAsia="Calibri" w:hAnsi="Calibri" w:cs="Calibri"/>
          <w:b/>
          <w:color w:val="006CAC"/>
          <w:sz w:val="40"/>
          <w:szCs w:val="40"/>
        </w:rPr>
      </w:pPr>
      <w:bookmarkStart w:id="0" w:name="_ni8ozl2h0wv9" w:colFirst="0" w:colLast="0"/>
      <w:bookmarkEnd w:id="0"/>
      <w:r>
        <w:rPr>
          <w:rFonts w:ascii="Calibri" w:eastAsia="Calibri" w:hAnsi="Calibri" w:cs="Calibri"/>
          <w:b/>
          <w:color w:val="006CAC"/>
          <w:sz w:val="40"/>
          <w:szCs w:val="40"/>
        </w:rPr>
        <w:t>What We Can Learn from Other State Policies &amp; Implementation</w:t>
      </w:r>
    </w:p>
    <w:p w14:paraId="796A54E9" w14:textId="77777777" w:rsidR="00A01431" w:rsidRDefault="00ED2A31">
      <w:pPr>
        <w:spacing w:before="240" w:after="240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Oregon’s Executive Order 25-09, issued by Governor Tina Kotek in July 2025, requires all public K–12 districts to implement a bell to bell ban on personal electronic devices (PEDs) during instructional hours by January 1, 2026. This landmark policy prioritizes student learning, mental health, and equitable access to distraction-free environments. As Oregon transitions from policy to practice, there is much to learn from the successes and challenges of other states that have implemented similar policies. Thi</w:t>
      </w:r>
      <w:r>
        <w:rPr>
          <w:rFonts w:ascii="Calibri" w:eastAsia="Calibri" w:hAnsi="Calibri" w:cs="Calibri"/>
          <w:sz w:val="24"/>
          <w:szCs w:val="24"/>
        </w:rPr>
        <w:t>s document offers guidance grounded in real-world experience, distilling key lessons, strategies, and decision points from across the nation.</w:t>
      </w:r>
    </w:p>
    <w:p w14:paraId="7F4874B0" w14:textId="77777777" w:rsidR="00A01431" w:rsidRDefault="00ED2A31">
      <w:pPr>
        <w:pStyle w:val="Heading1"/>
        <w:spacing w:after="80"/>
        <w:rPr>
          <w:rFonts w:ascii="Calibri" w:eastAsia="Calibri" w:hAnsi="Calibri" w:cs="Calibri"/>
          <w:b/>
          <w:color w:val="434343"/>
          <w:sz w:val="36"/>
          <w:szCs w:val="36"/>
        </w:rPr>
      </w:pPr>
      <w:bookmarkStart w:id="1" w:name="_jxj8uxt1ma8" w:colFirst="0" w:colLast="0"/>
      <w:bookmarkEnd w:id="1"/>
      <w:r>
        <w:rPr>
          <w:rFonts w:ascii="Calibri" w:eastAsia="Calibri" w:hAnsi="Calibri" w:cs="Calibri"/>
          <w:b/>
          <w:color w:val="434343"/>
          <w:sz w:val="36"/>
          <w:szCs w:val="36"/>
        </w:rPr>
        <w:t>Policy Comparison: What Other States Are Doing</w:t>
      </w:r>
    </w:p>
    <w:tbl>
      <w:tblPr>
        <w:tblStyle w:val="a"/>
        <w:tblW w:w="10800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20" w:firstRow="1" w:lastRow="0" w:firstColumn="0" w:lastColumn="0" w:noHBand="1" w:noVBand="1"/>
      </w:tblPr>
      <w:tblGrid>
        <w:gridCol w:w="2380"/>
        <w:gridCol w:w="2380"/>
        <w:gridCol w:w="2380"/>
        <w:gridCol w:w="3660"/>
      </w:tblGrid>
      <w:tr w:rsidR="00A01431" w14:paraId="6E657A2C" w14:textId="77777777" w:rsidTr="00ED2A31">
        <w:trPr>
          <w:tblHeader/>
        </w:trPr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6CAC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B1827E" w14:textId="77777777" w:rsidR="00A01431" w:rsidRDefault="00ED2A31">
            <w:pPr>
              <w:jc w:val="center"/>
              <w:rPr>
                <w:rFonts w:ascii="Calibri" w:eastAsia="Calibri" w:hAnsi="Calibri" w:cs="Calibri"/>
                <w:b/>
                <w:color w:val="FFFFFF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color w:val="FFFFFF"/>
                <w:sz w:val="24"/>
                <w:szCs w:val="24"/>
              </w:rPr>
              <w:t>State</w:t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6CAC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E7EDAB" w14:textId="77777777" w:rsidR="00A01431" w:rsidRDefault="00ED2A31">
            <w:pPr>
              <w:jc w:val="center"/>
              <w:rPr>
                <w:rFonts w:ascii="Calibri" w:eastAsia="Calibri" w:hAnsi="Calibri" w:cs="Calibri"/>
                <w:b/>
                <w:color w:val="FFFFFF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color w:val="FFFFFF"/>
                <w:sz w:val="24"/>
                <w:szCs w:val="24"/>
              </w:rPr>
              <w:t>Scope of Ban</w:t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6CAC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95A76A" w14:textId="77777777" w:rsidR="00A01431" w:rsidRDefault="00ED2A31">
            <w:pPr>
              <w:jc w:val="center"/>
              <w:rPr>
                <w:rFonts w:ascii="Calibri" w:eastAsia="Calibri" w:hAnsi="Calibri" w:cs="Calibri"/>
                <w:b/>
                <w:color w:val="FFFFFF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color w:val="FFFFFF"/>
                <w:sz w:val="24"/>
                <w:szCs w:val="24"/>
              </w:rPr>
              <w:t>Implementation Mechanisms</w:t>
            </w:r>
          </w:p>
        </w:tc>
        <w:tc>
          <w:tcPr>
            <w:tcW w:w="3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6CAC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4475BC" w14:textId="77777777" w:rsidR="00A01431" w:rsidRDefault="00ED2A31">
            <w:pPr>
              <w:jc w:val="center"/>
              <w:rPr>
                <w:rFonts w:ascii="Calibri" w:eastAsia="Calibri" w:hAnsi="Calibri" w:cs="Calibri"/>
                <w:b/>
                <w:color w:val="FFFFFF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color w:val="FFFFFF"/>
                <w:sz w:val="24"/>
                <w:szCs w:val="24"/>
              </w:rPr>
              <w:t>Key Features</w:t>
            </w:r>
          </w:p>
        </w:tc>
      </w:tr>
      <w:tr w:rsidR="00A01431" w14:paraId="7392DDCB" w14:textId="77777777" w:rsidTr="00ED2A31"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0CD1C3" w14:textId="77777777" w:rsidR="00A01431" w:rsidRDefault="00ED2A31">
            <w:pPr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Florida</w:t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D7EF57" w14:textId="77777777" w:rsidR="00A01431" w:rsidRDefault="00ED2A31">
            <w:pPr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Instructional time</w:t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05E414" w14:textId="77777777" w:rsidR="00A01431" w:rsidRDefault="00ED2A31">
            <w:pPr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Legislation + district policy</w:t>
            </w:r>
          </w:p>
        </w:tc>
        <w:tc>
          <w:tcPr>
            <w:tcW w:w="3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0B9653" w14:textId="77777777" w:rsidR="00A01431" w:rsidRDefault="00ED2A31">
            <w:pPr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 xml:space="preserve">Social media </w:t>
            </w:r>
            <w:proofErr w:type="gramStart"/>
            <w:r>
              <w:rPr>
                <w:rFonts w:ascii="Calibri" w:eastAsia="Calibri" w:hAnsi="Calibri" w:cs="Calibri"/>
                <w:sz w:val="24"/>
                <w:szCs w:val="24"/>
              </w:rPr>
              <w:t>blocked on</w:t>
            </w:r>
            <w:proofErr w:type="gramEnd"/>
            <w:r>
              <w:rPr>
                <w:rFonts w:ascii="Calibri" w:eastAsia="Calibri" w:hAnsi="Calibri" w:cs="Calibri"/>
                <w:sz w:val="24"/>
                <w:szCs w:val="24"/>
              </w:rPr>
              <w:t xml:space="preserve"> Wi-Fi; teacher discretion allowed for academic use; storage via bins or pouches</w:t>
            </w:r>
          </w:p>
        </w:tc>
      </w:tr>
      <w:tr w:rsidR="00A01431" w14:paraId="634C0121" w14:textId="77777777" w:rsidTr="00ED2A31"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53A74F" w14:textId="77777777" w:rsidR="00A01431" w:rsidRDefault="00ED2A31">
            <w:pPr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Indiana</w:t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46778F" w14:textId="77777777" w:rsidR="00A01431" w:rsidRDefault="00ED2A31">
            <w:pPr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Class time</w:t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659E70" w14:textId="77777777" w:rsidR="00A01431" w:rsidRDefault="00ED2A31">
            <w:pPr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State law (SB 185) + local decision-making</w:t>
            </w:r>
          </w:p>
        </w:tc>
        <w:tc>
          <w:tcPr>
            <w:tcW w:w="3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7C0155" w14:textId="77777777" w:rsidR="00A01431" w:rsidRDefault="00ED2A31">
            <w:pPr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Uniform policy; school board-developed enforcement plans; storage methods vary</w:t>
            </w:r>
          </w:p>
        </w:tc>
      </w:tr>
      <w:tr w:rsidR="00A01431" w14:paraId="10387EC1" w14:textId="77777777" w:rsidTr="00ED2A31"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D4345D" w14:textId="77777777" w:rsidR="00A01431" w:rsidRDefault="00ED2A31">
            <w:pPr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Louisiana</w:t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E9CAC5" w14:textId="77777777" w:rsidR="00A01431" w:rsidRDefault="00ED2A31">
            <w:pPr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Entire school day</w:t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14D27D" w14:textId="77777777" w:rsidR="00A01431" w:rsidRDefault="00ED2A31">
            <w:pPr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State policy</w:t>
            </w:r>
          </w:p>
        </w:tc>
        <w:tc>
          <w:tcPr>
            <w:tcW w:w="3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DBE6F7" w14:textId="77777777" w:rsidR="00A01431" w:rsidRDefault="00ED2A31">
            <w:pPr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Phones must be off and stored; exemptions for emergencies and medical needs</w:t>
            </w:r>
          </w:p>
        </w:tc>
      </w:tr>
      <w:tr w:rsidR="00A01431" w14:paraId="6CB68296" w14:textId="77777777" w:rsidTr="00ED2A31"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6370AD" w14:textId="77777777" w:rsidR="00A01431" w:rsidRDefault="00ED2A31">
            <w:pPr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Virginia</w:t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E69064" w14:textId="77777777" w:rsidR="00A01431" w:rsidRDefault="00ED2A31">
            <w:pPr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Entire school day</w:t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3E033F" w14:textId="77777777" w:rsidR="00A01431" w:rsidRDefault="00ED2A31">
            <w:pPr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Executive Order + funding</w:t>
            </w:r>
          </w:p>
        </w:tc>
        <w:tc>
          <w:tcPr>
            <w:tcW w:w="3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0F8D90" w14:textId="77777777" w:rsidR="00A01431" w:rsidRDefault="00ED2A31">
            <w:pPr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VDOE-developed guidance; $500K in seed grants; local flexibility encouraged</w:t>
            </w:r>
          </w:p>
        </w:tc>
      </w:tr>
      <w:tr w:rsidR="00A01431" w14:paraId="2C606E40" w14:textId="77777777" w:rsidTr="00ED2A31"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BC93F4" w14:textId="77777777" w:rsidR="00A01431" w:rsidRDefault="00ED2A31">
            <w:pPr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Texas</w:t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84BB00" w14:textId="77777777" w:rsidR="00A01431" w:rsidRDefault="00ED2A31">
            <w:pPr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Entire school day (Sept 2025)</w:t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06D426" w14:textId="77777777" w:rsidR="00A01431" w:rsidRDefault="00ED2A31">
            <w:pPr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Legislation + TEA rulemaking</w:t>
            </w:r>
          </w:p>
        </w:tc>
        <w:tc>
          <w:tcPr>
            <w:tcW w:w="3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05BE40" w14:textId="77777777" w:rsidR="00A01431" w:rsidRDefault="00ED2A31">
            <w:pPr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 xml:space="preserve">Requires local policy alignment and school board adoption; </w:t>
            </w: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Yondr</w:t>
            </w:r>
            <w:proofErr w:type="spellEnd"/>
            <w:r>
              <w:rPr>
                <w:rFonts w:ascii="Calibri" w:eastAsia="Calibri" w:hAnsi="Calibri" w:cs="Calibri"/>
                <w:sz w:val="24"/>
                <w:szCs w:val="24"/>
              </w:rPr>
              <w:t xml:space="preserve"> pouches encouraged</w:t>
            </w:r>
          </w:p>
        </w:tc>
      </w:tr>
      <w:tr w:rsidR="00A01431" w14:paraId="339E4257" w14:textId="77777777" w:rsidTr="00ED2A31"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724E4B" w14:textId="77777777" w:rsidR="00A01431" w:rsidRDefault="00ED2A31">
            <w:pPr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Minnesota</w:t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3239D5" w14:textId="77777777" w:rsidR="00A01431" w:rsidRDefault="00ED2A31">
            <w:pPr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Encouraged class-time ban</w:t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E18F1F" w14:textId="77777777" w:rsidR="00A01431" w:rsidRDefault="00ED2A31">
            <w:pPr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State recommendations</w:t>
            </w:r>
          </w:p>
        </w:tc>
        <w:tc>
          <w:tcPr>
            <w:tcW w:w="3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3C83EF" w14:textId="77777777" w:rsidR="00A01431" w:rsidRDefault="00ED2A31">
            <w:pPr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Emphasis on local control with state guidance and sample protocols</w:t>
            </w:r>
          </w:p>
        </w:tc>
      </w:tr>
      <w:tr w:rsidR="00A01431" w14:paraId="363BF18C" w14:textId="77777777" w:rsidTr="00ED2A31"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63C744" w14:textId="77777777" w:rsidR="00A01431" w:rsidRDefault="00ED2A31">
            <w:pPr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California</w:t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E0565D" w14:textId="77777777" w:rsidR="00A01431" w:rsidRDefault="00ED2A31">
            <w:pPr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Required local policies by 2026</w:t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5E25BF" w14:textId="77777777" w:rsidR="00A01431" w:rsidRDefault="00ED2A31">
            <w:pPr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Legislation</w:t>
            </w:r>
          </w:p>
        </w:tc>
        <w:tc>
          <w:tcPr>
            <w:tcW w:w="3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DAE2CF" w14:textId="77777777" w:rsidR="00A01431" w:rsidRDefault="00ED2A31">
            <w:pPr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Schools must adopt policies to restrict or prohibit cell phones during instructional time</w:t>
            </w:r>
          </w:p>
        </w:tc>
      </w:tr>
    </w:tbl>
    <w:p w14:paraId="34AE533D" w14:textId="77777777" w:rsidR="00A01431" w:rsidRDefault="00A01431">
      <w:pPr>
        <w:spacing w:after="80"/>
        <w:rPr>
          <w:rFonts w:ascii="Calibri" w:eastAsia="Calibri" w:hAnsi="Calibri" w:cs="Calibri"/>
          <w:sz w:val="24"/>
          <w:szCs w:val="24"/>
        </w:rPr>
      </w:pPr>
    </w:p>
    <w:p w14:paraId="1EBC1AA9" w14:textId="77777777" w:rsidR="00A01431" w:rsidRDefault="00ED2A31">
      <w:pPr>
        <w:pStyle w:val="Heading1"/>
        <w:spacing w:after="80"/>
        <w:rPr>
          <w:rFonts w:ascii="Calibri" w:eastAsia="Calibri" w:hAnsi="Calibri" w:cs="Calibri"/>
          <w:b/>
          <w:color w:val="434343"/>
          <w:sz w:val="36"/>
          <w:szCs w:val="36"/>
        </w:rPr>
      </w:pPr>
      <w:bookmarkStart w:id="2" w:name="_shr7wboite17" w:colFirst="0" w:colLast="0"/>
      <w:bookmarkEnd w:id="2"/>
      <w:r>
        <w:rPr>
          <w:rFonts w:ascii="Calibri" w:eastAsia="Calibri" w:hAnsi="Calibri" w:cs="Calibri"/>
          <w:b/>
          <w:color w:val="434343"/>
          <w:sz w:val="36"/>
          <w:szCs w:val="36"/>
        </w:rPr>
        <w:lastRenderedPageBreak/>
        <w:t>Key Lessons from State Policy and District Implementation</w:t>
      </w:r>
    </w:p>
    <w:p w14:paraId="31579485" w14:textId="77777777" w:rsidR="00A01431" w:rsidRDefault="00ED2A31">
      <w:pPr>
        <w:pStyle w:val="Heading2"/>
        <w:spacing w:before="280"/>
        <w:rPr>
          <w:rFonts w:ascii="Calibri" w:eastAsia="Calibri" w:hAnsi="Calibri" w:cs="Calibri"/>
          <w:color w:val="006CAC"/>
        </w:rPr>
      </w:pPr>
      <w:bookmarkStart w:id="3" w:name="_9fl31ldj8kls" w:colFirst="0" w:colLast="0"/>
      <w:bookmarkEnd w:id="3"/>
      <w:r>
        <w:rPr>
          <w:rFonts w:ascii="Calibri" w:eastAsia="Calibri" w:hAnsi="Calibri" w:cs="Calibri"/>
          <w:color w:val="006CAC"/>
        </w:rPr>
        <w:t>1. Start with Shared Purpose</w:t>
      </w:r>
    </w:p>
    <w:p w14:paraId="07E984F7" w14:textId="77777777" w:rsidR="00A01431" w:rsidRDefault="00ED2A31">
      <w:pPr>
        <w:numPr>
          <w:ilvl w:val="0"/>
          <w:numId w:val="2"/>
        </w:numPr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Why it matters: Successful states and districts begin by clearly communicating the why: academic focus, mental health, digital wellness, and equity.</w:t>
      </w:r>
    </w:p>
    <w:p w14:paraId="249EB89F" w14:textId="77777777" w:rsidR="00A01431" w:rsidRDefault="00ED2A31">
      <w:pPr>
        <w:numPr>
          <w:ilvl w:val="0"/>
          <w:numId w:val="2"/>
        </w:numPr>
        <w:spacing w:after="240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What to do: Develop talking points, data stories, and partner engagement plans that reflect Oregon’s equity commitments and student-centered vision.</w:t>
      </w:r>
    </w:p>
    <w:p w14:paraId="781D6AC6" w14:textId="77777777" w:rsidR="00A01431" w:rsidRDefault="00ED2A31">
      <w:pPr>
        <w:spacing w:before="240" w:after="240"/>
        <w:jc w:val="center"/>
        <w:rPr>
          <w:rFonts w:ascii="Calibri" w:eastAsia="Calibri" w:hAnsi="Calibri" w:cs="Calibri"/>
          <w:i/>
          <w:sz w:val="26"/>
          <w:szCs w:val="26"/>
        </w:rPr>
      </w:pPr>
      <w:r>
        <w:rPr>
          <w:rFonts w:ascii="Calibri" w:eastAsia="Calibri" w:hAnsi="Calibri" w:cs="Calibri"/>
          <w:b/>
          <w:i/>
          <w:sz w:val="26"/>
          <w:szCs w:val="26"/>
        </w:rPr>
        <w:t>Lesson</w:t>
      </w:r>
      <w:r>
        <w:rPr>
          <w:rFonts w:ascii="Calibri" w:eastAsia="Calibri" w:hAnsi="Calibri" w:cs="Calibri"/>
          <w:i/>
          <w:sz w:val="26"/>
          <w:szCs w:val="26"/>
        </w:rPr>
        <w:t>: Framing matters. Ground the policy in values, not just restrictions.</w:t>
      </w:r>
    </w:p>
    <w:p w14:paraId="1B9624EB" w14:textId="77777777" w:rsidR="00A01431" w:rsidRDefault="00ED2A31">
      <w:pPr>
        <w:pStyle w:val="Heading2"/>
        <w:spacing w:before="280"/>
        <w:rPr>
          <w:rFonts w:ascii="Calibri" w:eastAsia="Calibri" w:hAnsi="Calibri" w:cs="Calibri"/>
          <w:color w:val="006CAC"/>
        </w:rPr>
      </w:pPr>
      <w:bookmarkStart w:id="4" w:name="_ogexus4vn0g7" w:colFirst="0" w:colLast="0"/>
      <w:bookmarkEnd w:id="4"/>
      <w:r>
        <w:rPr>
          <w:rFonts w:ascii="Calibri" w:eastAsia="Calibri" w:hAnsi="Calibri" w:cs="Calibri"/>
          <w:color w:val="006CAC"/>
        </w:rPr>
        <w:t>2. Define Expectations with Clarity and Consistency</w:t>
      </w:r>
    </w:p>
    <w:p w14:paraId="6A130FEE" w14:textId="77777777" w:rsidR="00A01431" w:rsidRDefault="00ED2A31">
      <w:pPr>
        <w:numPr>
          <w:ilvl w:val="0"/>
          <w:numId w:val="3"/>
        </w:numPr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Establish a shared definition of “instructional hours” (bell to bell).</w:t>
      </w:r>
    </w:p>
    <w:p w14:paraId="7856FF04" w14:textId="77777777" w:rsidR="00A01431" w:rsidRDefault="00ED2A31">
      <w:pPr>
        <w:numPr>
          <w:ilvl w:val="0"/>
          <w:numId w:val="3"/>
        </w:numPr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Specify device expectations (e.g., powered off, stored, silent).</w:t>
      </w:r>
    </w:p>
    <w:p w14:paraId="3C822953" w14:textId="77777777" w:rsidR="00A01431" w:rsidRDefault="00ED2A31">
      <w:pPr>
        <w:numPr>
          <w:ilvl w:val="0"/>
          <w:numId w:val="3"/>
        </w:numPr>
        <w:spacing w:after="240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Make exemptions explicit and equitable in alignment with policy requirements.</w:t>
      </w:r>
    </w:p>
    <w:p w14:paraId="68782C24" w14:textId="77777777" w:rsidR="00A01431" w:rsidRDefault="00ED2A31">
      <w:pPr>
        <w:jc w:val="center"/>
        <w:rPr>
          <w:rFonts w:ascii="Calibri" w:eastAsia="Calibri" w:hAnsi="Calibri" w:cs="Calibri"/>
          <w:i/>
          <w:sz w:val="26"/>
          <w:szCs w:val="26"/>
        </w:rPr>
      </w:pPr>
      <w:r>
        <w:rPr>
          <w:rFonts w:ascii="Calibri" w:eastAsia="Calibri" w:hAnsi="Calibri" w:cs="Calibri"/>
          <w:b/>
          <w:i/>
          <w:sz w:val="26"/>
          <w:szCs w:val="26"/>
        </w:rPr>
        <w:t>Lesson</w:t>
      </w:r>
      <w:r>
        <w:rPr>
          <w:rFonts w:ascii="Calibri" w:eastAsia="Calibri" w:hAnsi="Calibri" w:cs="Calibri"/>
          <w:i/>
          <w:sz w:val="26"/>
          <w:szCs w:val="26"/>
        </w:rPr>
        <w:t>: Clarity reduces conflict. Predictable rules build trust.</w:t>
      </w:r>
    </w:p>
    <w:p w14:paraId="65425CDC" w14:textId="77777777" w:rsidR="00A01431" w:rsidRDefault="00ED2A31">
      <w:pPr>
        <w:pStyle w:val="Heading2"/>
        <w:spacing w:before="280"/>
        <w:rPr>
          <w:rFonts w:ascii="Calibri" w:eastAsia="Calibri" w:hAnsi="Calibri" w:cs="Calibri"/>
          <w:color w:val="006CAC"/>
        </w:rPr>
      </w:pPr>
      <w:bookmarkStart w:id="5" w:name="_1j6bqmt46qz2" w:colFirst="0" w:colLast="0"/>
      <w:bookmarkEnd w:id="5"/>
      <w:r>
        <w:rPr>
          <w:rFonts w:ascii="Calibri" w:eastAsia="Calibri" w:hAnsi="Calibri" w:cs="Calibri"/>
          <w:color w:val="006CAC"/>
        </w:rPr>
        <w:t>3. Offer Multiple Storage Options</w:t>
      </w:r>
    </w:p>
    <w:p w14:paraId="3DF14075" w14:textId="77777777" w:rsidR="00A01431" w:rsidRDefault="00ED2A31">
      <w:pPr>
        <w:numPr>
          <w:ilvl w:val="0"/>
          <w:numId w:val="9"/>
        </w:numPr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States like Indiana, Texas, and Florida use a variety of storage solutions, including:</w:t>
      </w:r>
    </w:p>
    <w:p w14:paraId="6B42AEDB" w14:textId="77777777" w:rsidR="00A01431" w:rsidRDefault="00ED2A31">
      <w:pPr>
        <w:numPr>
          <w:ilvl w:val="1"/>
          <w:numId w:val="9"/>
        </w:numPr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Low-tech: Cell phone lockers, classroom bins, backpack rules</w:t>
      </w:r>
    </w:p>
    <w:p w14:paraId="783AE60A" w14:textId="77777777" w:rsidR="00A01431" w:rsidRDefault="00ED2A31">
      <w:pPr>
        <w:numPr>
          <w:ilvl w:val="1"/>
          <w:numId w:val="9"/>
        </w:numPr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Mid-cost: Over-the-door organizers or secured classroom containers</w:t>
      </w:r>
    </w:p>
    <w:p w14:paraId="06980FC9" w14:textId="77777777" w:rsidR="00A01431" w:rsidRDefault="00ED2A31">
      <w:pPr>
        <w:numPr>
          <w:ilvl w:val="1"/>
          <w:numId w:val="9"/>
        </w:numPr>
        <w:spacing w:after="240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 xml:space="preserve">High-tech: </w:t>
      </w:r>
      <w:proofErr w:type="spellStart"/>
      <w:r>
        <w:rPr>
          <w:rFonts w:ascii="Calibri" w:eastAsia="Calibri" w:hAnsi="Calibri" w:cs="Calibri"/>
          <w:sz w:val="24"/>
          <w:szCs w:val="24"/>
        </w:rPr>
        <w:t>Yondr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or similar lockable pouches</w:t>
      </w:r>
    </w:p>
    <w:p w14:paraId="12A25921" w14:textId="77777777" w:rsidR="00A01431" w:rsidRDefault="00ED2A31">
      <w:pPr>
        <w:spacing w:after="200"/>
        <w:jc w:val="center"/>
        <w:rPr>
          <w:rFonts w:ascii="Calibri" w:eastAsia="Calibri" w:hAnsi="Calibri" w:cs="Calibri"/>
          <w:i/>
          <w:sz w:val="26"/>
          <w:szCs w:val="26"/>
        </w:rPr>
      </w:pPr>
      <w:r>
        <w:rPr>
          <w:rFonts w:ascii="Calibri" w:eastAsia="Calibri" w:hAnsi="Calibri" w:cs="Calibri"/>
          <w:b/>
          <w:i/>
          <w:sz w:val="26"/>
          <w:szCs w:val="26"/>
        </w:rPr>
        <w:t>Lesson</w:t>
      </w:r>
      <w:r>
        <w:rPr>
          <w:rFonts w:ascii="Calibri" w:eastAsia="Calibri" w:hAnsi="Calibri" w:cs="Calibri"/>
          <w:i/>
          <w:sz w:val="26"/>
          <w:szCs w:val="26"/>
        </w:rPr>
        <w:t xml:space="preserve">: One size does not </w:t>
      </w:r>
      <w:proofErr w:type="gramStart"/>
      <w:r>
        <w:rPr>
          <w:rFonts w:ascii="Calibri" w:eastAsia="Calibri" w:hAnsi="Calibri" w:cs="Calibri"/>
          <w:i/>
          <w:sz w:val="26"/>
          <w:szCs w:val="26"/>
        </w:rPr>
        <w:t>fit</w:t>
      </w:r>
      <w:proofErr w:type="gramEnd"/>
      <w:r>
        <w:rPr>
          <w:rFonts w:ascii="Calibri" w:eastAsia="Calibri" w:hAnsi="Calibri" w:cs="Calibri"/>
          <w:i/>
          <w:sz w:val="26"/>
          <w:szCs w:val="26"/>
        </w:rPr>
        <w:t xml:space="preserve"> </w:t>
      </w:r>
      <w:proofErr w:type="gramStart"/>
      <w:r>
        <w:rPr>
          <w:rFonts w:ascii="Calibri" w:eastAsia="Calibri" w:hAnsi="Calibri" w:cs="Calibri"/>
          <w:i/>
          <w:sz w:val="26"/>
          <w:szCs w:val="26"/>
        </w:rPr>
        <w:t>all</w:t>
      </w:r>
      <w:proofErr w:type="gramEnd"/>
      <w:r>
        <w:rPr>
          <w:rFonts w:ascii="Calibri" w:eastAsia="Calibri" w:hAnsi="Calibri" w:cs="Calibri"/>
          <w:i/>
          <w:sz w:val="26"/>
          <w:szCs w:val="26"/>
        </w:rPr>
        <w:t xml:space="preserve"> and it does not have to cost anything.</w:t>
      </w:r>
    </w:p>
    <w:p w14:paraId="794208EC" w14:textId="77777777" w:rsidR="00A01431" w:rsidRDefault="00ED2A31">
      <w:pPr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Schools and districts do not need to invest in expensive products to manage devices effectively. Many successful approaches use simple, no-cost or low-cost strategies that align with each school’s physical space, staffing, and student needs. The key is consistency and clear expectations, not the price tag.</w:t>
      </w:r>
    </w:p>
    <w:p w14:paraId="755D3FF1" w14:textId="77777777" w:rsidR="00A01431" w:rsidRDefault="00ED2A31">
      <w:pPr>
        <w:pStyle w:val="Heading2"/>
        <w:spacing w:before="280"/>
        <w:rPr>
          <w:rFonts w:ascii="Calibri" w:eastAsia="Calibri" w:hAnsi="Calibri" w:cs="Calibri"/>
          <w:color w:val="006CAC"/>
        </w:rPr>
      </w:pPr>
      <w:bookmarkStart w:id="6" w:name="_dmazf2wn31rg" w:colFirst="0" w:colLast="0"/>
      <w:bookmarkEnd w:id="6"/>
      <w:r>
        <w:rPr>
          <w:rFonts w:ascii="Calibri" w:eastAsia="Calibri" w:hAnsi="Calibri" w:cs="Calibri"/>
          <w:color w:val="006CAC"/>
        </w:rPr>
        <w:t>4. Ensure Equity in Policy and Practice</w:t>
      </w:r>
    </w:p>
    <w:p w14:paraId="156AE449" w14:textId="77777777" w:rsidR="00A01431" w:rsidRDefault="00ED2A31">
      <w:pPr>
        <w:numPr>
          <w:ilvl w:val="0"/>
          <w:numId w:val="11"/>
        </w:numPr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Policies must protect students in alignment with state laws.</w:t>
      </w:r>
    </w:p>
    <w:p w14:paraId="40C46F01" w14:textId="77777777" w:rsidR="00A01431" w:rsidRDefault="00ED2A31">
      <w:pPr>
        <w:numPr>
          <w:ilvl w:val="0"/>
          <w:numId w:val="11"/>
        </w:numPr>
        <w:spacing w:after="240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 xml:space="preserve">Districts should routinely review enforcement data to ensure implementation is fair and not disproportionately impacting </w:t>
      </w:r>
      <w:proofErr w:type="gramStart"/>
      <w:r>
        <w:rPr>
          <w:rFonts w:ascii="Calibri" w:eastAsia="Calibri" w:hAnsi="Calibri" w:cs="Calibri"/>
          <w:sz w:val="24"/>
          <w:szCs w:val="24"/>
        </w:rPr>
        <w:t>focal</w:t>
      </w:r>
      <w:proofErr w:type="gramEnd"/>
      <w:r>
        <w:rPr>
          <w:rFonts w:ascii="Calibri" w:eastAsia="Calibri" w:hAnsi="Calibri" w:cs="Calibri"/>
          <w:sz w:val="24"/>
          <w:szCs w:val="24"/>
        </w:rPr>
        <w:t xml:space="preserve"> group students.</w:t>
      </w:r>
    </w:p>
    <w:p w14:paraId="4AE352D4" w14:textId="77777777" w:rsidR="00A01431" w:rsidRDefault="00ED2A31">
      <w:pPr>
        <w:jc w:val="center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b/>
          <w:i/>
          <w:sz w:val="26"/>
          <w:szCs w:val="26"/>
        </w:rPr>
        <w:t>Lesson</w:t>
      </w:r>
      <w:r>
        <w:rPr>
          <w:rFonts w:ascii="Calibri" w:eastAsia="Calibri" w:hAnsi="Calibri" w:cs="Calibri"/>
          <w:i/>
          <w:sz w:val="26"/>
          <w:szCs w:val="26"/>
        </w:rPr>
        <w:t>: Equity is not an afterthought. Design for the margins.</w:t>
      </w:r>
    </w:p>
    <w:p w14:paraId="0DED6436" w14:textId="77777777" w:rsidR="00A01431" w:rsidRDefault="00ED2A31">
      <w:pPr>
        <w:pStyle w:val="Heading2"/>
        <w:spacing w:before="280"/>
        <w:rPr>
          <w:rFonts w:ascii="Calibri" w:eastAsia="Calibri" w:hAnsi="Calibri" w:cs="Calibri"/>
          <w:color w:val="006CAC"/>
        </w:rPr>
      </w:pPr>
      <w:bookmarkStart w:id="7" w:name="_a1gwc7n5jhmf" w:colFirst="0" w:colLast="0"/>
      <w:bookmarkEnd w:id="7"/>
      <w:r>
        <w:rPr>
          <w:rFonts w:ascii="Calibri" w:eastAsia="Calibri" w:hAnsi="Calibri" w:cs="Calibri"/>
          <w:color w:val="006CAC"/>
        </w:rPr>
        <w:t>5. Involve Students and Families Early</w:t>
      </w:r>
    </w:p>
    <w:p w14:paraId="672A333F" w14:textId="77777777" w:rsidR="00A01431" w:rsidRDefault="00ED2A31">
      <w:pPr>
        <w:numPr>
          <w:ilvl w:val="0"/>
          <w:numId w:val="6"/>
        </w:numPr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 xml:space="preserve">Schools in Virginia, Indiana, and Florida report greater support when students and families co-develop the “how.” While the Executive Order outlines the requirements that all Oregon schools and districts </w:t>
      </w:r>
      <w:r>
        <w:rPr>
          <w:rFonts w:ascii="Calibri" w:eastAsia="Calibri" w:hAnsi="Calibri" w:cs="Calibri"/>
          <w:sz w:val="24"/>
          <w:szCs w:val="24"/>
        </w:rPr>
        <w:lastRenderedPageBreak/>
        <w:t xml:space="preserve">must follow, there are opportunities to engage families </w:t>
      </w:r>
      <w:proofErr w:type="gramStart"/>
      <w:r>
        <w:rPr>
          <w:rFonts w:ascii="Calibri" w:eastAsia="Calibri" w:hAnsi="Calibri" w:cs="Calibri"/>
          <w:sz w:val="24"/>
          <w:szCs w:val="24"/>
        </w:rPr>
        <w:t>on</w:t>
      </w:r>
      <w:proofErr w:type="gramEnd"/>
      <w:r>
        <w:rPr>
          <w:rFonts w:ascii="Calibri" w:eastAsia="Calibri" w:hAnsi="Calibri" w:cs="Calibri"/>
          <w:sz w:val="24"/>
          <w:szCs w:val="24"/>
        </w:rPr>
        <w:t xml:space="preserve"> implementation (e.g. storage strategies), and enforcement (e.g. steps to take if students do not comply with the policy).</w:t>
      </w:r>
    </w:p>
    <w:p w14:paraId="58FCEA9A" w14:textId="77777777" w:rsidR="00A01431" w:rsidRDefault="00ED2A31">
      <w:pPr>
        <w:numPr>
          <w:ilvl w:val="0"/>
          <w:numId w:val="6"/>
        </w:numPr>
        <w:spacing w:after="240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Consider focus groups, student-designed signage, and parent communication scripts that humanize the transition.</w:t>
      </w:r>
    </w:p>
    <w:p w14:paraId="79C0F34E" w14:textId="77777777" w:rsidR="00A01431" w:rsidRDefault="00ED2A31">
      <w:pPr>
        <w:ind w:left="440"/>
        <w:jc w:val="center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b/>
          <w:i/>
          <w:sz w:val="26"/>
          <w:szCs w:val="26"/>
        </w:rPr>
        <w:t>Lesson</w:t>
      </w:r>
      <w:r>
        <w:rPr>
          <w:rFonts w:ascii="Calibri" w:eastAsia="Calibri" w:hAnsi="Calibri" w:cs="Calibri"/>
          <w:i/>
          <w:sz w:val="26"/>
          <w:szCs w:val="26"/>
        </w:rPr>
        <w:t>: Engagement builds ownership. Make policy a shared journey.</w:t>
      </w:r>
    </w:p>
    <w:p w14:paraId="7A42DD9C" w14:textId="77777777" w:rsidR="00A01431" w:rsidRDefault="00ED2A31">
      <w:pPr>
        <w:pStyle w:val="Heading2"/>
        <w:spacing w:before="280"/>
        <w:rPr>
          <w:rFonts w:ascii="Calibri" w:eastAsia="Calibri" w:hAnsi="Calibri" w:cs="Calibri"/>
          <w:color w:val="006CAC"/>
        </w:rPr>
      </w:pPr>
      <w:bookmarkStart w:id="8" w:name="_7zjstdvoh6ru" w:colFirst="0" w:colLast="0"/>
      <w:bookmarkEnd w:id="8"/>
      <w:r>
        <w:rPr>
          <w:rFonts w:ascii="Calibri" w:eastAsia="Calibri" w:hAnsi="Calibri" w:cs="Calibri"/>
          <w:color w:val="006CAC"/>
        </w:rPr>
        <w:t>6. Train Staff and Reduce Burden</w:t>
      </w:r>
    </w:p>
    <w:p w14:paraId="723CA7A0" w14:textId="77777777" w:rsidR="00A01431" w:rsidRDefault="00ED2A31">
      <w:pPr>
        <w:numPr>
          <w:ilvl w:val="0"/>
          <w:numId w:val="4"/>
        </w:numPr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States have found that success depends on staff readiness:</w:t>
      </w:r>
    </w:p>
    <w:p w14:paraId="1BF78C01" w14:textId="77777777" w:rsidR="00A01431" w:rsidRDefault="00ED2A31">
      <w:pPr>
        <w:numPr>
          <w:ilvl w:val="1"/>
          <w:numId w:val="4"/>
        </w:numPr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Clear protocols for who enforces and when</w:t>
      </w:r>
    </w:p>
    <w:p w14:paraId="02C2C4FB" w14:textId="77777777" w:rsidR="00A01431" w:rsidRDefault="00ED2A31">
      <w:pPr>
        <w:numPr>
          <w:ilvl w:val="1"/>
          <w:numId w:val="4"/>
        </w:numPr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De-escalation strategies</w:t>
      </w:r>
    </w:p>
    <w:p w14:paraId="050B70A8" w14:textId="77777777" w:rsidR="00A01431" w:rsidRDefault="00ED2A31">
      <w:pPr>
        <w:numPr>
          <w:ilvl w:val="1"/>
          <w:numId w:val="4"/>
        </w:numPr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Tiered response frameworks</w:t>
      </w:r>
    </w:p>
    <w:p w14:paraId="22ED9B9A" w14:textId="77777777" w:rsidR="00A01431" w:rsidRDefault="00ED2A31">
      <w:pPr>
        <w:numPr>
          <w:ilvl w:val="1"/>
          <w:numId w:val="4"/>
        </w:numPr>
        <w:spacing w:after="240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 xml:space="preserve">District and building-wide </w:t>
      </w:r>
      <w:r>
        <w:rPr>
          <w:rFonts w:ascii="Calibri" w:eastAsia="Calibri" w:hAnsi="Calibri" w:cs="Calibri"/>
          <w:sz w:val="24"/>
          <w:szCs w:val="24"/>
        </w:rPr>
        <w:t xml:space="preserve">training, </w:t>
      </w:r>
      <w:proofErr w:type="gramStart"/>
      <w:r>
        <w:rPr>
          <w:rFonts w:ascii="Calibri" w:eastAsia="Calibri" w:hAnsi="Calibri" w:cs="Calibri"/>
          <w:sz w:val="24"/>
          <w:szCs w:val="24"/>
        </w:rPr>
        <w:t>including for</w:t>
      </w:r>
      <w:proofErr w:type="gramEnd"/>
      <w:r>
        <w:rPr>
          <w:rFonts w:ascii="Calibri" w:eastAsia="Calibri" w:hAnsi="Calibri" w:cs="Calibri"/>
          <w:sz w:val="24"/>
          <w:szCs w:val="24"/>
        </w:rPr>
        <w:t xml:space="preserve"> bus drivers, librarians, and front office staff</w:t>
      </w:r>
    </w:p>
    <w:p w14:paraId="107720C1" w14:textId="77777777" w:rsidR="00A01431" w:rsidRDefault="00ED2A31">
      <w:pPr>
        <w:jc w:val="center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b/>
          <w:i/>
          <w:sz w:val="26"/>
          <w:szCs w:val="26"/>
        </w:rPr>
        <w:t>Lesson:</w:t>
      </w:r>
      <w:r>
        <w:rPr>
          <w:rFonts w:ascii="Calibri" w:eastAsia="Calibri" w:hAnsi="Calibri" w:cs="Calibri"/>
          <w:i/>
          <w:sz w:val="26"/>
          <w:szCs w:val="26"/>
        </w:rPr>
        <w:t xml:space="preserve"> Implementation must be sustainable. Support the adults who carry the work.</w:t>
      </w:r>
    </w:p>
    <w:p w14:paraId="45305116" w14:textId="77777777" w:rsidR="00A01431" w:rsidRDefault="00ED2A31">
      <w:pPr>
        <w:pStyle w:val="Heading2"/>
        <w:spacing w:before="280"/>
        <w:rPr>
          <w:rFonts w:ascii="Calibri" w:eastAsia="Calibri" w:hAnsi="Calibri" w:cs="Calibri"/>
          <w:color w:val="006CAC"/>
        </w:rPr>
      </w:pPr>
      <w:bookmarkStart w:id="9" w:name="_qlmy38m00px4" w:colFirst="0" w:colLast="0"/>
      <w:bookmarkEnd w:id="9"/>
      <w:r>
        <w:rPr>
          <w:rFonts w:ascii="Calibri" w:eastAsia="Calibri" w:hAnsi="Calibri" w:cs="Calibri"/>
          <w:color w:val="006CAC"/>
        </w:rPr>
        <w:t>7. Track and Celebrate Progress</w:t>
      </w:r>
    </w:p>
    <w:p w14:paraId="69A38754" w14:textId="77777777" w:rsidR="00A01431" w:rsidRDefault="00ED2A31">
      <w:pPr>
        <w:numPr>
          <w:ilvl w:val="0"/>
          <w:numId w:val="8"/>
        </w:numPr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Districts that track outcomes, like decreased behavioral referrals, increased on-task time, and improved SEL climate, build momentum and public trust.</w:t>
      </w:r>
    </w:p>
    <w:p w14:paraId="418B8ADD" w14:textId="77777777" w:rsidR="00A01431" w:rsidRDefault="00ED2A31">
      <w:pPr>
        <w:numPr>
          <w:ilvl w:val="0"/>
          <w:numId w:val="8"/>
        </w:numPr>
        <w:spacing w:after="240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Consider collecting baseline data before implementation (Fall 2025) and comparing with post-implementation data (Spring 2026).</w:t>
      </w:r>
    </w:p>
    <w:p w14:paraId="215B28F6" w14:textId="77777777" w:rsidR="00A01431" w:rsidRDefault="00ED2A31">
      <w:pPr>
        <w:spacing w:before="240" w:after="240"/>
        <w:jc w:val="center"/>
        <w:rPr>
          <w:rFonts w:ascii="Calibri" w:eastAsia="Calibri" w:hAnsi="Calibri" w:cs="Calibri"/>
          <w:i/>
          <w:sz w:val="26"/>
          <w:szCs w:val="26"/>
        </w:rPr>
      </w:pPr>
      <w:r>
        <w:rPr>
          <w:rFonts w:ascii="Calibri" w:eastAsia="Calibri" w:hAnsi="Calibri" w:cs="Calibri"/>
          <w:b/>
          <w:i/>
          <w:sz w:val="26"/>
          <w:szCs w:val="26"/>
        </w:rPr>
        <w:t>Lesson</w:t>
      </w:r>
      <w:r>
        <w:rPr>
          <w:rFonts w:ascii="Calibri" w:eastAsia="Calibri" w:hAnsi="Calibri" w:cs="Calibri"/>
          <w:i/>
          <w:sz w:val="26"/>
          <w:szCs w:val="26"/>
        </w:rPr>
        <w:t>: What you measure matters. Show your impact.</w:t>
      </w:r>
    </w:p>
    <w:p w14:paraId="413F35B1" w14:textId="77777777" w:rsidR="00A01431" w:rsidRDefault="00ED2A31">
      <w:pPr>
        <w:pStyle w:val="Heading1"/>
        <w:rPr>
          <w:rFonts w:ascii="Calibri" w:eastAsia="Calibri" w:hAnsi="Calibri" w:cs="Calibri"/>
          <w:b/>
          <w:color w:val="434343"/>
          <w:sz w:val="36"/>
          <w:szCs w:val="36"/>
        </w:rPr>
      </w:pPr>
      <w:bookmarkStart w:id="10" w:name="_ndy4wjhlgaym" w:colFirst="0" w:colLast="0"/>
      <w:bookmarkEnd w:id="10"/>
      <w:r>
        <w:rPr>
          <w:rFonts w:ascii="Calibri" w:eastAsia="Calibri" w:hAnsi="Calibri" w:cs="Calibri"/>
          <w:b/>
          <w:color w:val="434343"/>
          <w:sz w:val="36"/>
          <w:szCs w:val="36"/>
        </w:rPr>
        <w:t>Implementation Considerations for Oregon Districts</w:t>
      </w:r>
    </w:p>
    <w:p w14:paraId="30FB965A" w14:textId="77777777" w:rsidR="00A01431" w:rsidRDefault="00ED2A31">
      <w:pPr>
        <w:pStyle w:val="Heading2"/>
        <w:spacing w:before="280"/>
        <w:rPr>
          <w:rFonts w:ascii="Calibri" w:eastAsia="Calibri" w:hAnsi="Calibri" w:cs="Calibri"/>
          <w:color w:val="006CAC"/>
        </w:rPr>
      </w:pPr>
      <w:bookmarkStart w:id="11" w:name="_fkta1z9b6ijh" w:colFirst="0" w:colLast="0"/>
      <w:bookmarkEnd w:id="11"/>
      <w:r>
        <w:rPr>
          <w:rFonts w:ascii="Calibri" w:eastAsia="Calibri" w:hAnsi="Calibri" w:cs="Calibri"/>
          <w:color w:val="006CAC"/>
        </w:rPr>
        <w:t>1. Policy Development</w:t>
      </w:r>
    </w:p>
    <w:p w14:paraId="3EC3C660" w14:textId="77777777" w:rsidR="00A01431" w:rsidRDefault="00ED2A31">
      <w:pPr>
        <w:numPr>
          <w:ilvl w:val="0"/>
          <w:numId w:val="10"/>
        </w:numPr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Align local policies with EO 25-09 while incorporating district context including required exemptions.</w:t>
      </w:r>
    </w:p>
    <w:p w14:paraId="779E15E2" w14:textId="77777777" w:rsidR="00A01431" w:rsidRDefault="00ED2A31">
      <w:pPr>
        <w:numPr>
          <w:ilvl w:val="0"/>
          <w:numId w:val="10"/>
        </w:numPr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Include tiered consequences, appeal processes, and clear communication plans.</w:t>
      </w:r>
    </w:p>
    <w:p w14:paraId="06BA641C" w14:textId="77777777" w:rsidR="00A01431" w:rsidRDefault="00ED2A31">
      <w:pPr>
        <w:numPr>
          <w:ilvl w:val="0"/>
          <w:numId w:val="10"/>
        </w:numPr>
        <w:spacing w:after="240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 xml:space="preserve">Develop exemption/exemption forms for licensed medical providers, unless using </w:t>
      </w:r>
      <w:hyperlink r:id="rId7">
        <w:r>
          <w:rPr>
            <w:rFonts w:ascii="Calibri" w:eastAsia="Calibri" w:hAnsi="Calibri" w:cs="Calibri"/>
            <w:color w:val="1155CC"/>
            <w:sz w:val="24"/>
            <w:szCs w:val="24"/>
            <w:u w:val="single"/>
          </w:rPr>
          <w:t>OSBA’s exemption form</w:t>
        </w:r>
      </w:hyperlink>
      <w:r>
        <w:rPr>
          <w:rFonts w:ascii="Calibri" w:eastAsia="Calibri" w:hAnsi="Calibri" w:cs="Calibri"/>
          <w:sz w:val="24"/>
          <w:szCs w:val="24"/>
        </w:rPr>
        <w:t>, and communicate the process clearly to staff and families</w:t>
      </w:r>
    </w:p>
    <w:p w14:paraId="379F33F4" w14:textId="77777777" w:rsidR="00A01431" w:rsidRDefault="00ED2A31">
      <w:pPr>
        <w:pStyle w:val="Heading2"/>
        <w:spacing w:before="280"/>
        <w:rPr>
          <w:rFonts w:ascii="Calibri" w:eastAsia="Calibri" w:hAnsi="Calibri" w:cs="Calibri"/>
          <w:color w:val="006CAC"/>
        </w:rPr>
      </w:pPr>
      <w:bookmarkStart w:id="12" w:name="_y8rwz7g8oa42" w:colFirst="0" w:colLast="0"/>
      <w:bookmarkEnd w:id="12"/>
      <w:r>
        <w:rPr>
          <w:rFonts w:ascii="Calibri" w:eastAsia="Calibri" w:hAnsi="Calibri" w:cs="Calibri"/>
          <w:color w:val="006CAC"/>
        </w:rPr>
        <w:t>2. Logistics &amp; Infrastructure</w:t>
      </w:r>
    </w:p>
    <w:p w14:paraId="7198F0CD" w14:textId="77777777" w:rsidR="00A01431" w:rsidRDefault="00ED2A31">
      <w:pPr>
        <w:numPr>
          <w:ilvl w:val="0"/>
          <w:numId w:val="1"/>
        </w:numPr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Inventory current storage capacity and select options by site.</w:t>
      </w:r>
    </w:p>
    <w:p w14:paraId="135AEE86" w14:textId="77777777" w:rsidR="00A01431" w:rsidRDefault="00ED2A31">
      <w:pPr>
        <w:numPr>
          <w:ilvl w:val="0"/>
          <w:numId w:val="1"/>
        </w:numPr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Develop daily procedures for collection, storage, and return of devices.</w:t>
      </w:r>
    </w:p>
    <w:p w14:paraId="227D3C82" w14:textId="77777777" w:rsidR="00A01431" w:rsidRDefault="00ED2A31">
      <w:pPr>
        <w:numPr>
          <w:ilvl w:val="0"/>
          <w:numId w:val="1"/>
        </w:numPr>
        <w:spacing w:after="240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Assign staff roles and prepare for substitute coverage plans.</w:t>
      </w:r>
    </w:p>
    <w:p w14:paraId="3987190D" w14:textId="77777777" w:rsidR="00A01431" w:rsidRDefault="00ED2A31">
      <w:pPr>
        <w:pStyle w:val="Heading2"/>
        <w:rPr>
          <w:rFonts w:ascii="Calibri" w:eastAsia="Calibri" w:hAnsi="Calibri" w:cs="Calibri"/>
          <w:color w:val="006CAC"/>
        </w:rPr>
      </w:pPr>
      <w:bookmarkStart w:id="13" w:name="_3fymzxxt6pv3" w:colFirst="0" w:colLast="0"/>
      <w:bookmarkEnd w:id="13"/>
      <w:r>
        <w:rPr>
          <w:rFonts w:ascii="Calibri" w:eastAsia="Calibri" w:hAnsi="Calibri" w:cs="Calibri"/>
          <w:color w:val="006CAC"/>
        </w:rPr>
        <w:lastRenderedPageBreak/>
        <w:t>3. Communication &amp; Engagement</w:t>
      </w:r>
    </w:p>
    <w:p w14:paraId="0ED8C8B0" w14:textId="77777777" w:rsidR="00A01431" w:rsidRDefault="00ED2A31">
      <w:pPr>
        <w:numPr>
          <w:ilvl w:val="0"/>
          <w:numId w:val="7"/>
        </w:numPr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Use multilingual family letters, FAQ documents, social media, and open house nights.</w:t>
      </w:r>
    </w:p>
    <w:p w14:paraId="2D97CDEC" w14:textId="77777777" w:rsidR="00A01431" w:rsidRDefault="00ED2A31">
      <w:pPr>
        <w:numPr>
          <w:ilvl w:val="0"/>
          <w:numId w:val="7"/>
        </w:numPr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Host student-led info sessions and restorative circle discussions.</w:t>
      </w:r>
    </w:p>
    <w:p w14:paraId="33C3A33D" w14:textId="77777777" w:rsidR="00A01431" w:rsidRDefault="00ED2A31">
      <w:pPr>
        <w:numPr>
          <w:ilvl w:val="0"/>
          <w:numId w:val="7"/>
        </w:numPr>
        <w:spacing w:after="240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Be explicit about how families can reach students in emergencies.</w:t>
      </w:r>
    </w:p>
    <w:p w14:paraId="735A2017" w14:textId="77777777" w:rsidR="00A01431" w:rsidRDefault="00ED2A31">
      <w:pPr>
        <w:pStyle w:val="Heading2"/>
        <w:spacing w:before="280"/>
        <w:rPr>
          <w:rFonts w:ascii="Calibri" w:eastAsia="Calibri" w:hAnsi="Calibri" w:cs="Calibri"/>
          <w:color w:val="006CAC"/>
        </w:rPr>
      </w:pPr>
      <w:bookmarkStart w:id="14" w:name="_jtz5sj7tocza" w:colFirst="0" w:colLast="0"/>
      <w:bookmarkEnd w:id="14"/>
      <w:r>
        <w:rPr>
          <w:rFonts w:ascii="Calibri" w:eastAsia="Calibri" w:hAnsi="Calibri" w:cs="Calibri"/>
          <w:color w:val="006CAC"/>
        </w:rPr>
        <w:t>4. Evaluation &amp; Feedback</w:t>
      </w:r>
    </w:p>
    <w:p w14:paraId="638E16C0" w14:textId="77777777" w:rsidR="00A01431" w:rsidRDefault="00ED2A31">
      <w:pPr>
        <w:numPr>
          <w:ilvl w:val="0"/>
          <w:numId w:val="5"/>
        </w:numPr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Set measurable goals (e.g., fewer distractions, improved focus, reduced discipline).</w:t>
      </w:r>
    </w:p>
    <w:p w14:paraId="5D0BC274" w14:textId="77777777" w:rsidR="00A01431" w:rsidRDefault="00ED2A31">
      <w:pPr>
        <w:numPr>
          <w:ilvl w:val="0"/>
          <w:numId w:val="5"/>
        </w:numPr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Use staff/student/family surveys to assess impact and adjust.</w:t>
      </w:r>
    </w:p>
    <w:p w14:paraId="272FBBE7" w14:textId="77777777" w:rsidR="00A01431" w:rsidRDefault="00ED2A31">
      <w:pPr>
        <w:numPr>
          <w:ilvl w:val="0"/>
          <w:numId w:val="5"/>
        </w:numPr>
        <w:spacing w:after="240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Share results with your board, staff, and community</w:t>
      </w:r>
    </w:p>
    <w:p w14:paraId="6D4845A3" w14:textId="77777777" w:rsidR="00A01431" w:rsidRDefault="00ED2A31">
      <w:pPr>
        <w:pStyle w:val="Heading1"/>
        <w:rPr>
          <w:rFonts w:ascii="Calibri" w:eastAsia="Calibri" w:hAnsi="Calibri" w:cs="Calibri"/>
          <w:b/>
          <w:color w:val="434343"/>
          <w:sz w:val="36"/>
          <w:szCs w:val="36"/>
        </w:rPr>
      </w:pPr>
      <w:bookmarkStart w:id="15" w:name="_fnpof8tj4sri" w:colFirst="0" w:colLast="0"/>
      <w:bookmarkEnd w:id="15"/>
      <w:r>
        <w:rPr>
          <w:rFonts w:ascii="Calibri" w:eastAsia="Calibri" w:hAnsi="Calibri" w:cs="Calibri"/>
          <w:b/>
          <w:color w:val="434343"/>
          <w:sz w:val="36"/>
          <w:szCs w:val="36"/>
        </w:rPr>
        <w:t>Closing Thought</w:t>
      </w:r>
    </w:p>
    <w:p w14:paraId="08A46B50" w14:textId="77777777" w:rsidR="00A01431" w:rsidRDefault="00ED2A31">
      <w:pPr>
        <w:spacing w:before="240" w:after="240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 xml:space="preserve">States that have successfully implemented cellphone bans share one key approach: they treat the policy as part of a broader commitment to student well-being, inclusion, and learning. Oregon has a unique opportunity to lead by combining clear implementation with community-driven values. By learning from other states, we can avoid common pitfalls, highlight best practices, and ensure our policy goes beyond compliance to create meaningful, positive </w:t>
      </w:r>
      <w:proofErr w:type="gramStart"/>
      <w:r>
        <w:rPr>
          <w:rFonts w:ascii="Calibri" w:eastAsia="Calibri" w:hAnsi="Calibri" w:cs="Calibri"/>
          <w:sz w:val="24"/>
          <w:szCs w:val="24"/>
        </w:rPr>
        <w:t>change</w:t>
      </w:r>
      <w:proofErr w:type="gramEnd"/>
      <w:r>
        <w:rPr>
          <w:rFonts w:ascii="Calibri" w:eastAsia="Calibri" w:hAnsi="Calibri" w:cs="Calibri"/>
          <w:sz w:val="24"/>
          <w:szCs w:val="24"/>
        </w:rPr>
        <w:t>.</w:t>
      </w:r>
    </w:p>
    <w:p w14:paraId="26B5A186" w14:textId="77777777" w:rsidR="00A01431" w:rsidRDefault="00A01431"/>
    <w:p w14:paraId="210253C5" w14:textId="77777777" w:rsidR="00A01431" w:rsidRDefault="00A01431"/>
    <w:sectPr w:rsidR="00A01431">
      <w:footerReference w:type="default" r:id="rId8"/>
      <w:pgSz w:w="12240" w:h="15840"/>
      <w:pgMar w:top="720" w:right="720" w:bottom="720" w:left="72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D2A746" w14:textId="77777777" w:rsidR="00ED2A31" w:rsidRDefault="00ED2A31">
      <w:pPr>
        <w:spacing w:line="240" w:lineRule="auto"/>
      </w:pPr>
      <w:r>
        <w:separator/>
      </w:r>
    </w:p>
  </w:endnote>
  <w:endnote w:type="continuationSeparator" w:id="0">
    <w:p w14:paraId="0FEF8575" w14:textId="77777777" w:rsidR="00ED2A31" w:rsidRDefault="00ED2A3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9A7A90" w14:textId="77777777" w:rsidR="00A01431" w:rsidRDefault="00ED2A31">
    <w:pPr>
      <w:jc w:val="right"/>
      <w:rPr>
        <w:rFonts w:ascii="Calibri" w:eastAsia="Calibri" w:hAnsi="Calibri" w:cs="Calibri"/>
        <w:sz w:val="24"/>
        <w:szCs w:val="24"/>
      </w:rPr>
    </w:pPr>
    <w:r>
      <w:rPr>
        <w:rFonts w:ascii="Calibri" w:eastAsia="Calibri" w:hAnsi="Calibri" w:cs="Calibri"/>
        <w:sz w:val="24"/>
        <w:szCs w:val="24"/>
      </w:rPr>
      <w:fldChar w:fldCharType="begin"/>
    </w:r>
    <w:r>
      <w:rPr>
        <w:rFonts w:ascii="Calibri" w:eastAsia="Calibri" w:hAnsi="Calibri" w:cs="Calibri"/>
        <w:sz w:val="24"/>
        <w:szCs w:val="24"/>
      </w:rPr>
      <w:instrText>PAGE</w:instrText>
    </w:r>
    <w:r>
      <w:rPr>
        <w:rFonts w:ascii="Calibri" w:eastAsia="Calibri" w:hAnsi="Calibri" w:cs="Calibri"/>
        <w:sz w:val="24"/>
        <w:szCs w:val="24"/>
      </w:rPr>
      <w:fldChar w:fldCharType="separate"/>
    </w:r>
    <w:r>
      <w:rPr>
        <w:rFonts w:ascii="Calibri" w:eastAsia="Calibri" w:hAnsi="Calibri" w:cs="Calibri"/>
        <w:noProof/>
        <w:sz w:val="24"/>
        <w:szCs w:val="24"/>
      </w:rPr>
      <w:t>1</w:t>
    </w:r>
    <w:r>
      <w:rPr>
        <w:rFonts w:ascii="Calibri" w:eastAsia="Calibri" w:hAnsi="Calibri" w:cs="Calibri"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2609F5" w14:textId="77777777" w:rsidR="00ED2A31" w:rsidRDefault="00ED2A31">
      <w:pPr>
        <w:spacing w:line="240" w:lineRule="auto"/>
      </w:pPr>
      <w:r>
        <w:separator/>
      </w:r>
    </w:p>
  </w:footnote>
  <w:footnote w:type="continuationSeparator" w:id="0">
    <w:p w14:paraId="0285E950" w14:textId="77777777" w:rsidR="00ED2A31" w:rsidRDefault="00ED2A3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D95EE9"/>
    <w:multiLevelType w:val="multilevel"/>
    <w:tmpl w:val="D3B0BF1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15D11E2D"/>
    <w:multiLevelType w:val="multilevel"/>
    <w:tmpl w:val="9396565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27436A5D"/>
    <w:multiLevelType w:val="multilevel"/>
    <w:tmpl w:val="A37A31B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2F800F22"/>
    <w:multiLevelType w:val="multilevel"/>
    <w:tmpl w:val="91D2D02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360A4C8E"/>
    <w:multiLevelType w:val="multilevel"/>
    <w:tmpl w:val="73D0537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500639CA"/>
    <w:multiLevelType w:val="multilevel"/>
    <w:tmpl w:val="83585C0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5BDB391E"/>
    <w:multiLevelType w:val="multilevel"/>
    <w:tmpl w:val="0358BB1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 w15:restartNumberingAfterBreak="0">
    <w:nsid w:val="5D376279"/>
    <w:multiLevelType w:val="multilevel"/>
    <w:tmpl w:val="0C765D3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 w15:restartNumberingAfterBreak="0">
    <w:nsid w:val="6D506D07"/>
    <w:multiLevelType w:val="multilevel"/>
    <w:tmpl w:val="EF34562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 w15:restartNumberingAfterBreak="0">
    <w:nsid w:val="75A87ED3"/>
    <w:multiLevelType w:val="multilevel"/>
    <w:tmpl w:val="97EEF9F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 w15:restartNumberingAfterBreak="0">
    <w:nsid w:val="7E986770"/>
    <w:multiLevelType w:val="multilevel"/>
    <w:tmpl w:val="1470688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2023164576">
    <w:abstractNumId w:val="2"/>
  </w:num>
  <w:num w:numId="2" w16cid:durableId="196084461">
    <w:abstractNumId w:val="0"/>
  </w:num>
  <w:num w:numId="3" w16cid:durableId="774592809">
    <w:abstractNumId w:val="1"/>
  </w:num>
  <w:num w:numId="4" w16cid:durableId="2144038761">
    <w:abstractNumId w:val="7"/>
  </w:num>
  <w:num w:numId="5" w16cid:durableId="891425831">
    <w:abstractNumId w:val="9"/>
  </w:num>
  <w:num w:numId="6" w16cid:durableId="1430931146">
    <w:abstractNumId w:val="4"/>
  </w:num>
  <w:num w:numId="7" w16cid:durableId="1150248691">
    <w:abstractNumId w:val="6"/>
  </w:num>
  <w:num w:numId="8" w16cid:durableId="764377706">
    <w:abstractNumId w:val="10"/>
  </w:num>
  <w:num w:numId="9" w16cid:durableId="59982313">
    <w:abstractNumId w:val="5"/>
  </w:num>
  <w:num w:numId="10" w16cid:durableId="859583693">
    <w:abstractNumId w:val="8"/>
  </w:num>
  <w:num w:numId="11" w16cid:durableId="1234662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1431"/>
    <w:rsid w:val="00632F87"/>
    <w:rsid w:val="00A01431"/>
    <w:rsid w:val="00ED2A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CE7B55"/>
  <w15:docId w15:val="{F56F4642-BBD3-4B95-9D4F-47ECA7C2BE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yperlink" Target="https://www.oregon.gov/ode/educator-resources/teachingcontent/Documents/OSBA%20Model%20Administrative%20Regulation.docx" TargetMode="Externa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E94ED7EDA588641BA2DB1F50476E00F" ma:contentTypeVersion="7" ma:contentTypeDescription="Create a new document." ma:contentTypeScope="" ma:versionID="0a9e8130626d1a06b818d0bd9e76f391">
  <xsd:schema xmlns:xsd="http://www.w3.org/2001/XMLSchema" xmlns:xs="http://www.w3.org/2001/XMLSchema" xmlns:p="http://schemas.microsoft.com/office/2006/metadata/properties" xmlns:ns1="http://schemas.microsoft.com/sharepoint/v3" xmlns:ns2="17b1815e-ed97-4038-8b4f-b32987102c36" xmlns:ns3="54031767-dd6d-417c-ab73-583408f47564" targetNamespace="http://schemas.microsoft.com/office/2006/metadata/properties" ma:root="true" ma:fieldsID="43356d1e2cbf76ed9bc84ba3813c774f" ns1:_="" ns2:_="" ns3:_="">
    <xsd:import namespace="http://schemas.microsoft.com/sharepoint/v3"/>
    <xsd:import namespace="17b1815e-ed97-4038-8b4f-b32987102c36"/>
    <xsd:import namespace="54031767-dd6d-417c-ab73-583408f47564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Estimated_x0020_Creation_x0020_Date" minOccurs="0"/>
                <xsd:element ref="ns2:Remediation_x0020_Date" minOccurs="0"/>
                <xsd:element ref="ns2:Priority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4" nillable="true" ma:displayName="Scheduling Start Date" ma:description="Scheduling Start Date is a site column created by the Publishing feature. It is used to specify the date and time on which this page will first appear to site visitors." ma:hidden="true" ma:internalName="PublishingStartDate">
      <xsd:simpleType>
        <xsd:restriction base="dms:Unknown"/>
      </xsd:simpleType>
    </xsd:element>
    <xsd:element name="PublishingExpirationDate" ma:index="5" nillable="true" ma:displayName="Scheduling End Date" ma:description="Scheduling End Date is a site column created by the Publishing feature. It is used to specify the date and time on which this page will no longer appear to site visitors." ma:hidden="true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b1815e-ed97-4038-8b4f-b32987102c36" elementFormDefault="qualified">
    <xsd:import namespace="http://schemas.microsoft.com/office/2006/documentManagement/types"/>
    <xsd:import namespace="http://schemas.microsoft.com/office/infopath/2007/PartnerControls"/>
    <xsd:element name="Estimated_x0020_Creation_x0020_Date" ma:index="6" nillable="true" ma:displayName="Estimated Creation Date" ma:format="DateOnly" ma:internalName="Estimated_x0020_Creation_x0020_Date" ma:readOnly="false">
      <xsd:simpleType>
        <xsd:restriction base="dms:DateTime"/>
      </xsd:simpleType>
    </xsd:element>
    <xsd:element name="Remediation_x0020_Date" ma:index="7" nillable="true" ma:displayName="Remediation Date" ma:default="[today]" ma:format="DateOnly" ma:internalName="Remediation_x0020_Date" ma:readOnly="false">
      <xsd:simpleType>
        <xsd:restriction base="dms:DateTime"/>
      </xsd:simpleType>
    </xsd:element>
    <xsd:element name="Priority" ma:index="8" nillable="true" ma:displayName="Priority" ma:default="New" ma:description="What Priority Level Is This Document?" ma:format="RadioButtons" ma:internalName="Priority" ma:readOnly="false">
      <xsd:simpleType>
        <xsd:restriction base="dms:Choice">
          <xsd:enumeration value="New"/>
          <xsd:enumeration value="Legacy"/>
          <xsd:enumeration value="Tier 1"/>
          <xsd:enumeration value="Tier 2"/>
          <xsd:enumeration value="Tier 3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031767-dd6d-417c-ab73-583408f47564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9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iority xmlns="17b1815e-ed97-4038-8b4f-b32987102c36">New</Priority>
    <Remediation_x0020_Date xmlns="17b1815e-ed97-4038-8b4f-b32987102c36">2025-09-01T01:20:33+00:00</Remediation_x0020_Date>
    <PublishingExpirationDate xmlns="http://schemas.microsoft.com/sharepoint/v3" xsi:nil="true"/>
    <PublishingStartDate xmlns="http://schemas.microsoft.com/sharepoint/v3" xsi:nil="true"/>
    <Estimated_x0020_Creation_x0020_Date xmlns="17b1815e-ed97-4038-8b4f-b32987102c36" xsi:nil="true"/>
  </documentManagement>
</p:properties>
</file>

<file path=customXml/itemProps1.xml><?xml version="1.0" encoding="utf-8"?>
<ds:datastoreItem xmlns:ds="http://schemas.openxmlformats.org/officeDocument/2006/customXml" ds:itemID="{A40E6C7C-063B-4045-B030-B824FDA45BE8}"/>
</file>

<file path=customXml/itemProps2.xml><?xml version="1.0" encoding="utf-8"?>
<ds:datastoreItem xmlns:ds="http://schemas.openxmlformats.org/officeDocument/2006/customXml" ds:itemID="{B7B20C68-B026-4494-AFFD-5CDC85F00910}"/>
</file>

<file path=customXml/itemProps3.xml><?xml version="1.0" encoding="utf-8"?>
<ds:datastoreItem xmlns:ds="http://schemas.openxmlformats.org/officeDocument/2006/customXml" ds:itemID="{47ABB034-5992-469A-92CE-F87FA6B43941}"/>
</file>

<file path=docMetadata/LabelInfo.xml><?xml version="1.0" encoding="utf-8"?>
<clbl:labelList xmlns:clbl="http://schemas.microsoft.com/office/2020/mipLabelMetadata">
  <clbl:label id="{7730ea53-6f5e-4160-81a5-992a9105450a}" enabled="1" method="Standard" siteId="{b4f51418-b269-49a2-935a-fa54bf584fc8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883</Words>
  <Characters>5749</Characters>
  <Application>Microsoft Office Word</Application>
  <DocSecurity>0</DocSecurity>
  <Lines>97</Lines>
  <Paragraphs>53</Paragraphs>
  <ScaleCrop>false</ScaleCrop>
  <Company/>
  <LinksUpToDate>false</LinksUpToDate>
  <CharactersWithSpaces>6579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MASSA-MACLEOD Elizabeth * ODE</dc:creator>
  <cp:lastModifiedBy>MASSA-MACLEOD Elizabeth * ODE</cp:lastModifiedBy>
  <cp:revision>2</cp:revision>
  <dcterms:created xsi:type="dcterms:W3CDTF">2025-09-01T01:10:00Z</dcterms:created>
  <dcterms:modified xsi:type="dcterms:W3CDTF">2025-09-01T01:10:00Z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0x0101005E94ED7EDA588641BA2DB1F50476E00F</vt:lpwstr>
  </property>
</Properties>
</file>